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A4E5" w14:textId="77777777" w:rsidR="00FC6EC1" w:rsidRPr="0039063F" w:rsidRDefault="00FC6EC1" w:rsidP="00E0037E">
      <w:pPr>
        <w:pStyle w:val="Heading2"/>
        <w:spacing w:before="0"/>
      </w:pPr>
      <w:r w:rsidRPr="0039063F">
        <w:t>Entrepreneurial Mindset</w:t>
      </w:r>
    </w:p>
    <w:p w14:paraId="0E80DC68" w14:textId="77777777" w:rsidR="00FC6EC1" w:rsidRPr="00CF0926" w:rsidRDefault="00FC6EC1" w:rsidP="0039063F">
      <w:pPr>
        <w:rPr>
          <w:b/>
          <w:bCs/>
        </w:rPr>
      </w:pPr>
      <w:r w:rsidRPr="00CF0926">
        <w:rPr>
          <w:b/>
          <w:bCs/>
        </w:rPr>
        <w:t>Students see personal possibilities in the world of work.</w:t>
      </w:r>
    </w:p>
    <w:p w14:paraId="7C6AD071" w14:textId="34F429AD" w:rsidR="00820B08" w:rsidRPr="00820B08" w:rsidRDefault="00820B08" w:rsidP="0039063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1EF2001" wp14:editId="6190DE61">
                <wp:simplePos x="0" y="0"/>
                <wp:positionH relativeFrom="margin">
                  <wp:posOffset>-38100</wp:posOffset>
                </wp:positionH>
                <wp:positionV relativeFrom="paragraph">
                  <wp:posOffset>-109855</wp:posOffset>
                </wp:positionV>
                <wp:extent cx="7141210" cy="566420"/>
                <wp:effectExtent l="76200" t="76200" r="59690" b="119380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56642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479C6" w14:textId="176082BB" w:rsidR="004E1DAC" w:rsidRPr="0039063F" w:rsidRDefault="00461701" w:rsidP="0039063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9063F">
                              <w:rPr>
                                <w:caps/>
                                <w:color w:val="FFFFFF" w:themeColor="background1"/>
                              </w:rPr>
                              <w:t xml:space="preserve">Protocol </w:t>
                            </w:r>
                            <w:r w:rsidR="002A7723" w:rsidRPr="0039063F">
                              <w:rPr>
                                <w:caps/>
                                <w:color w:val="FFFFFF" w:themeColor="background1"/>
                              </w:rPr>
                              <w:t>7.</w:t>
                            </w:r>
                            <w:r w:rsidR="00DF5F17" w:rsidRPr="0039063F">
                              <w:rPr>
                                <w:caps/>
                                <w:color w:val="FFFFFF" w:themeColor="background1"/>
                              </w:rPr>
                              <w:t xml:space="preserve"> Action steps — </w:t>
                            </w:r>
                            <w:r w:rsidR="002A7723" w:rsidRPr="0039063F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 w:rsidR="00DF5F17" w:rsidRPr="0039063F">
                              <w:t>EMPLOYER ENGAGE</w:t>
                            </w:r>
                            <w:r w:rsidR="00221D27">
                              <w:t>MENT</w:t>
                            </w:r>
                            <w:r w:rsidR="00DF5F17" w:rsidRPr="0039063F">
                              <w:t xml:space="preserve"> IN THE EDUCATION OF STUDENTS</w:t>
                            </w:r>
                          </w:p>
                          <w:p w14:paraId="306725A4" w14:textId="28906019" w:rsidR="00217997" w:rsidRPr="00CC43D8" w:rsidRDefault="00217997" w:rsidP="0039063F"/>
                          <w:p w14:paraId="001BC70B" w14:textId="77777777" w:rsidR="00217997" w:rsidRPr="005F3DFD" w:rsidRDefault="00217997" w:rsidP="00390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20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" o:spid="_x0000_s1026" type="#_x0000_t13" style="position:absolute;margin-left:-3pt;margin-top:-8.65pt;width:562.3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" adj="20743" fillcolor="#62a39f [3209]" strokecolor="white [3201]" strokeweight="3pt">
                <v:shadow on="t" color="black" opacity="24903f" origin=",.5" offset="0,.55556mm"/>
                <v:textbox>
                  <w:txbxContent>
                    <w:p w14:paraId="2C1479C6" w14:textId="176082BB" w:rsidR="004E1DAC" w:rsidRPr="0039063F" w:rsidRDefault="00461701" w:rsidP="0039063F">
                      <w:pPr>
                        <w:rPr>
                          <w:color w:val="FFFFFF" w:themeColor="background1"/>
                        </w:rPr>
                      </w:pPr>
                      <w:r w:rsidRPr="0039063F">
                        <w:rPr>
                          <w:caps/>
                          <w:color w:val="FFFFFF" w:themeColor="background1"/>
                        </w:rPr>
                        <w:t xml:space="preserve">Protocol </w:t>
                      </w:r>
                      <w:r w:rsidR="002A7723" w:rsidRPr="0039063F">
                        <w:rPr>
                          <w:caps/>
                          <w:color w:val="FFFFFF" w:themeColor="background1"/>
                        </w:rPr>
                        <w:t>7.</w:t>
                      </w:r>
                      <w:r w:rsidR="00DF5F17" w:rsidRPr="0039063F">
                        <w:rPr>
                          <w:caps/>
                          <w:color w:val="FFFFFF" w:themeColor="background1"/>
                        </w:rPr>
                        <w:t xml:space="preserve"> Action steps — </w:t>
                      </w:r>
                      <w:r w:rsidR="002A7723" w:rsidRPr="0039063F">
                        <w:rPr>
                          <w:caps/>
                          <w:color w:val="FFFFFF" w:themeColor="background1"/>
                        </w:rPr>
                        <w:t xml:space="preserve"> </w:t>
                      </w:r>
                      <w:r w:rsidR="00DF5F17" w:rsidRPr="0039063F">
                        <w:t>EMPLOYER ENGAGE</w:t>
                      </w:r>
                      <w:r w:rsidR="00221D27">
                        <w:t>MENT</w:t>
                      </w:r>
                      <w:r w:rsidR="00DF5F17" w:rsidRPr="0039063F">
                        <w:t xml:space="preserve"> IN THE EDUCATION OF STUDENTS</w:t>
                      </w:r>
                    </w:p>
                    <w:p w14:paraId="306725A4" w14:textId="28906019" w:rsidR="00217997" w:rsidRPr="00CC43D8" w:rsidRDefault="00217997" w:rsidP="0039063F"/>
                    <w:p w14:paraId="001BC70B" w14:textId="77777777" w:rsidR="00217997" w:rsidRPr="005F3DFD" w:rsidRDefault="00217997" w:rsidP="0039063F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241E3F" w14:paraId="19364FF1" w14:textId="77777777" w:rsidTr="00E0037E">
        <w:tc>
          <w:tcPr>
            <w:tcW w:w="10792" w:type="dxa"/>
            <w:gridSpan w:val="3"/>
            <w:vAlign w:val="bottom"/>
          </w:tcPr>
          <w:p w14:paraId="7327D5DF" w14:textId="77777777" w:rsidR="00241E3F" w:rsidRDefault="00241E3F" w:rsidP="0039063F"/>
        </w:tc>
        <w:tc>
          <w:tcPr>
            <w:tcW w:w="3598" w:type="dxa"/>
            <w:vMerge w:val="restart"/>
            <w:shd w:val="clear" w:color="auto" w:fill="62A39F" w:themeFill="accent6"/>
            <w:vAlign w:val="center"/>
          </w:tcPr>
          <w:p w14:paraId="5A44B73C" w14:textId="4359D79F" w:rsidR="00241E3F" w:rsidRPr="00CC43D8" w:rsidRDefault="00241E3F" w:rsidP="0039063F">
            <w:pPr>
              <w:pStyle w:val="Heading3"/>
              <w:outlineLvl w:val="2"/>
            </w:pPr>
            <w:r w:rsidRPr="00CC43D8">
              <w:t xml:space="preserve">Full </w:t>
            </w:r>
            <w:r w:rsidR="00692738" w:rsidRPr="00CC43D8">
              <w:br/>
            </w:r>
            <w:r w:rsidRPr="00CC43D8">
              <w:t>implementation</w:t>
            </w:r>
          </w:p>
        </w:tc>
      </w:tr>
      <w:tr w:rsidR="00241E3F" w14:paraId="78BEC146" w14:textId="77777777" w:rsidTr="00E0037E">
        <w:trPr>
          <w:trHeight w:val="197"/>
        </w:trPr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53A58D8B" w14:textId="77777777" w:rsidR="00241E3F" w:rsidRPr="000C6361" w:rsidRDefault="00241E3F" w:rsidP="0039063F">
            <w:pPr>
              <w:pStyle w:val="Heading3"/>
              <w:outlineLvl w:val="2"/>
            </w:pPr>
            <w:r w:rsidRPr="000C6361">
              <w:t>Explore</w:t>
            </w:r>
          </w:p>
        </w:tc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1133E1CB" w14:textId="77777777" w:rsidR="00241E3F" w:rsidRPr="000C6361" w:rsidRDefault="00241E3F" w:rsidP="0039063F">
            <w:pPr>
              <w:pStyle w:val="Heading3"/>
              <w:outlineLvl w:val="2"/>
            </w:pPr>
            <w:r w:rsidRPr="000C6361">
              <w:t>Lay groundwork</w:t>
            </w:r>
          </w:p>
        </w:tc>
        <w:tc>
          <w:tcPr>
            <w:tcW w:w="3598" w:type="dxa"/>
            <w:shd w:val="clear" w:color="auto" w:fill="BFBFBF" w:themeFill="background1" w:themeFillShade="BF"/>
            <w:vAlign w:val="bottom"/>
          </w:tcPr>
          <w:p w14:paraId="0E69E97D" w14:textId="05BC9CBD" w:rsidR="00241E3F" w:rsidRPr="000C6361" w:rsidRDefault="00241E3F" w:rsidP="0039063F">
            <w:pPr>
              <w:pStyle w:val="Heading3"/>
              <w:outlineLvl w:val="2"/>
            </w:pPr>
            <w:r w:rsidRPr="000C6361">
              <w:t xml:space="preserve">Begin </w:t>
            </w:r>
            <w:r w:rsidR="00C36807">
              <w:t>implementation</w:t>
            </w:r>
          </w:p>
        </w:tc>
        <w:tc>
          <w:tcPr>
            <w:tcW w:w="3598" w:type="dxa"/>
            <w:vMerge/>
            <w:shd w:val="clear" w:color="auto" w:fill="62A39F" w:themeFill="accent6"/>
          </w:tcPr>
          <w:p w14:paraId="102F117E" w14:textId="77777777" w:rsidR="00241E3F" w:rsidRDefault="00241E3F" w:rsidP="0039063F"/>
        </w:tc>
      </w:tr>
      <w:tr w:rsidR="00377DD0" w14:paraId="5A37B4AC" w14:textId="77777777" w:rsidTr="00E0037E">
        <w:tc>
          <w:tcPr>
            <w:tcW w:w="3597" w:type="dxa"/>
          </w:tcPr>
          <w:p w14:paraId="4909849A" w14:textId="44F768B4" w:rsidR="00377DD0" w:rsidRPr="0039063F" w:rsidRDefault="00377DD0" w:rsidP="0039063F">
            <w:r w:rsidRPr="0039063F">
              <w:t xml:space="preserve">With help from </w:t>
            </w:r>
            <w:r w:rsidR="007161EC" w:rsidRPr="0039063F">
              <w:t xml:space="preserve">local </w:t>
            </w:r>
            <w:r w:rsidR="00BE445E" w:rsidRPr="0039063F">
              <w:t>private and public leaders</w:t>
            </w:r>
            <w:r w:rsidRPr="0039063F">
              <w:t xml:space="preserve">, explore the types of opportunities available for student </w:t>
            </w:r>
            <w:r w:rsidR="00FF2612" w:rsidRPr="0039063F">
              <w:t xml:space="preserve">work-related </w:t>
            </w:r>
            <w:r w:rsidRPr="0039063F">
              <w:t>experiences locally.</w:t>
            </w:r>
            <w:r w:rsidR="00EC20BB" w:rsidRPr="0039063F">
              <w:t xml:space="preserve"> Identify enthusiastic employers willing to partner with schools and provide leadership</w:t>
            </w:r>
            <w:r w:rsidR="00301793" w:rsidRPr="0039063F">
              <w:t xml:space="preserve"> in arranging for work-related experiences for students</w:t>
            </w:r>
            <w:r w:rsidR="00EC20BB" w:rsidRPr="0039063F">
              <w:t xml:space="preserve">. </w:t>
            </w:r>
          </w:p>
        </w:tc>
        <w:tc>
          <w:tcPr>
            <w:tcW w:w="3597" w:type="dxa"/>
          </w:tcPr>
          <w:p w14:paraId="0D30F0A0" w14:textId="60EC0993" w:rsidR="00377DD0" w:rsidRPr="00711775" w:rsidRDefault="00BE445E" w:rsidP="0039063F">
            <w:r>
              <w:t>Work with</w:t>
            </w:r>
            <w:r w:rsidR="00377DD0" w:rsidRPr="003D5B1A">
              <w:t xml:space="preserve"> </w:t>
            </w:r>
            <w:r w:rsidR="005F65A3">
              <w:t xml:space="preserve">identified </w:t>
            </w:r>
            <w:r w:rsidR="00377DD0" w:rsidRPr="003D5B1A">
              <w:t>community partners</w:t>
            </w:r>
            <w:r>
              <w:t xml:space="preserve"> to establish a network of </w:t>
            </w:r>
            <w:r w:rsidR="00EC20BB" w:rsidRPr="003D5B1A">
              <w:t xml:space="preserve">business, </w:t>
            </w:r>
            <w:r w:rsidR="00EC20BB">
              <w:t>government</w:t>
            </w:r>
            <w:r w:rsidR="00EC20BB" w:rsidRPr="003D5B1A">
              <w:t xml:space="preserve">, and </w:t>
            </w:r>
            <w:r w:rsidR="00EC20BB">
              <w:t xml:space="preserve">nonprofit </w:t>
            </w:r>
            <w:r>
              <w:t xml:space="preserve">employers that can work together </w:t>
            </w:r>
            <w:r w:rsidR="00377DD0">
              <w:t xml:space="preserve">to plan </w:t>
            </w:r>
            <w:r>
              <w:t xml:space="preserve">and provide </w:t>
            </w:r>
            <w:r w:rsidR="00377DD0" w:rsidRPr="003D5B1A">
              <w:t>student work</w:t>
            </w:r>
            <w:r w:rsidR="00301793">
              <w:t>-related</w:t>
            </w:r>
            <w:r w:rsidR="00377DD0" w:rsidRPr="003D5B1A">
              <w:t xml:space="preserve"> experiences</w:t>
            </w:r>
            <w:r w:rsidR="00EC20BB">
              <w:t xml:space="preserve"> across all sectors.</w:t>
            </w:r>
            <w:r w:rsidR="00010F1D">
              <w:t xml:space="preserve"> </w:t>
            </w:r>
            <w:r w:rsidR="00264CA5">
              <w:t>Collaborate with employers on training</w:t>
            </w:r>
            <w:r w:rsidR="00301793">
              <w:t xml:space="preserve"> and compliance requirements.</w:t>
            </w:r>
          </w:p>
        </w:tc>
        <w:tc>
          <w:tcPr>
            <w:tcW w:w="3598" w:type="dxa"/>
          </w:tcPr>
          <w:p w14:paraId="298BD416" w14:textId="4B970B2D" w:rsidR="00377DD0" w:rsidRPr="00711775" w:rsidRDefault="00377DD0" w:rsidP="0039063F">
            <w:r w:rsidRPr="00DD77C3">
              <w:t xml:space="preserve">Engage </w:t>
            </w:r>
            <w:r w:rsidR="00264CA5">
              <w:t xml:space="preserve">all </w:t>
            </w:r>
            <w:r w:rsidRPr="00DD77C3">
              <w:t xml:space="preserve">students in </w:t>
            </w:r>
            <w:r w:rsidR="00264CA5">
              <w:t xml:space="preserve">at least one </w:t>
            </w:r>
            <w:r w:rsidR="00FF2612">
              <w:t xml:space="preserve">work-related </w:t>
            </w:r>
            <w:r w:rsidRPr="00DD77C3">
              <w:t>experience as planned with community partners</w:t>
            </w:r>
            <w:r w:rsidR="00301793">
              <w:t>; the experience</w:t>
            </w:r>
            <w:r w:rsidR="00FD4377">
              <w:t>s</w:t>
            </w:r>
            <w:r w:rsidR="00301793">
              <w:t xml:space="preserve"> should include at least three of the </w:t>
            </w:r>
            <w:r w:rsidR="00FD4377">
              <w:t>characteristics listed under full implementation (see [a]</w:t>
            </w:r>
            <w:r w:rsidR="0039063F">
              <w:t>–</w:t>
            </w:r>
            <w:r w:rsidR="00FD4377">
              <w:t>[g] in cell to right).</w:t>
            </w:r>
            <w:r w:rsidR="00CA6ED0">
              <w:t xml:space="preserve"> Students reflect on work-related experiences.</w:t>
            </w:r>
          </w:p>
        </w:tc>
        <w:tc>
          <w:tcPr>
            <w:tcW w:w="3598" w:type="dxa"/>
          </w:tcPr>
          <w:p w14:paraId="74541F0A" w14:textId="5FA2A997" w:rsidR="00377DD0" w:rsidRPr="00711775" w:rsidRDefault="00377DD0" w:rsidP="0039063F">
            <w:r>
              <w:t>Local employers</w:t>
            </w:r>
            <w:r w:rsidRPr="002A1C73">
              <w:t xml:space="preserve"> routinely collaborate with teachers and students</w:t>
            </w:r>
            <w:r w:rsidR="00264CA5">
              <w:t xml:space="preserve"> </w:t>
            </w:r>
            <w:r w:rsidRPr="002A1C73">
              <w:t xml:space="preserve">to provide </w:t>
            </w:r>
            <w:r w:rsidR="00301793">
              <w:t xml:space="preserve">work-related experiences that have the following characteristics: (a) </w:t>
            </w:r>
            <w:r w:rsidR="007161EC">
              <w:t xml:space="preserve">authentic, </w:t>
            </w:r>
            <w:r w:rsidR="00301793">
              <w:t xml:space="preserve">(b) </w:t>
            </w:r>
            <w:r w:rsidR="007161EC">
              <w:t xml:space="preserve">recurrent, </w:t>
            </w:r>
            <w:r w:rsidR="00301793">
              <w:t xml:space="preserve">(c) </w:t>
            </w:r>
            <w:r w:rsidR="007161EC">
              <w:t xml:space="preserve">highly valued, </w:t>
            </w:r>
            <w:r w:rsidR="00301793">
              <w:t xml:space="preserve">(d) </w:t>
            </w:r>
            <w:r w:rsidR="007161EC">
              <w:t xml:space="preserve">varied, </w:t>
            </w:r>
            <w:r w:rsidR="00301793">
              <w:t xml:space="preserve">(e) </w:t>
            </w:r>
            <w:r w:rsidR="007161EC">
              <w:t xml:space="preserve">contextualized, </w:t>
            </w:r>
            <w:r w:rsidR="00301793">
              <w:t xml:space="preserve">(f) </w:t>
            </w:r>
            <w:r w:rsidR="007161EC">
              <w:t>personalized</w:t>
            </w:r>
            <w:r w:rsidR="00FD4377">
              <w:t>,</w:t>
            </w:r>
            <w:r w:rsidR="005F65A3">
              <w:t xml:space="preserve"> </w:t>
            </w:r>
            <w:r w:rsidR="00FD4377">
              <w:t xml:space="preserve">and (g) available </w:t>
            </w:r>
            <w:r w:rsidR="00DB2CF5">
              <w:t xml:space="preserve">(i.e., </w:t>
            </w:r>
            <w:r w:rsidR="00FD4377">
              <w:t>beginning in elementary grades</w:t>
            </w:r>
            <w:r w:rsidR="00DB2CF5">
              <w:t>)</w:t>
            </w:r>
            <w:r w:rsidR="00FD4377">
              <w:t>.</w:t>
            </w:r>
            <w:r w:rsidR="00301793">
              <w:t xml:space="preserve"> </w:t>
            </w:r>
          </w:p>
        </w:tc>
      </w:tr>
    </w:tbl>
    <w:p w14:paraId="00B269C8" w14:textId="77777777" w:rsidR="00787E29" w:rsidRDefault="00787E29" w:rsidP="0039063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8235B59" wp14:editId="56A0733F">
                <wp:simplePos x="0" y="0"/>
                <wp:positionH relativeFrom="margin">
                  <wp:posOffset>-28575</wp:posOffset>
                </wp:positionH>
                <wp:positionV relativeFrom="paragraph">
                  <wp:posOffset>-47625</wp:posOffset>
                </wp:positionV>
                <wp:extent cx="7141210" cy="568325"/>
                <wp:effectExtent l="76200" t="76200" r="59690" b="11747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5683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A99C4" w14:textId="390E75AF" w:rsidR="004E1DAC" w:rsidRPr="0039063F" w:rsidRDefault="00461701" w:rsidP="0039063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9063F">
                              <w:rPr>
                                <w:caps/>
                                <w:color w:val="FFFFFF" w:themeColor="background1"/>
                              </w:rPr>
                              <w:t xml:space="preserve">Protocol </w:t>
                            </w:r>
                            <w:r w:rsidR="002A7723" w:rsidRPr="0039063F">
                              <w:rPr>
                                <w:caps/>
                                <w:color w:val="FFFFFF" w:themeColor="background1"/>
                              </w:rPr>
                              <w:t>8</w:t>
                            </w:r>
                            <w:r w:rsidR="00F7558F" w:rsidRPr="0039063F">
                              <w:rPr>
                                <w:caps/>
                                <w:color w:val="FFFFFF" w:themeColor="background1"/>
                              </w:rPr>
                              <w:t xml:space="preserve">. </w:t>
                            </w:r>
                            <w:r w:rsidR="00DF5F17" w:rsidRPr="0039063F">
                              <w:rPr>
                                <w:caps/>
                                <w:color w:val="FFFFFF" w:themeColor="background1"/>
                              </w:rPr>
                              <w:t xml:space="preserve">Action steps —  </w:t>
                            </w:r>
                            <w:r w:rsidR="00E9232E" w:rsidRPr="0039063F">
                              <w:t>CAREER EXPLORATION AND PLANNING</w:t>
                            </w:r>
                          </w:p>
                          <w:p w14:paraId="554B6946" w14:textId="1599FDB3" w:rsidR="00787E29" w:rsidRPr="00C36807" w:rsidRDefault="00787E29" w:rsidP="0039063F"/>
                          <w:p w14:paraId="49128915" w14:textId="77777777" w:rsidR="00787E29" w:rsidRPr="005F3DFD" w:rsidRDefault="00787E29" w:rsidP="00390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5B59" id="Arrow: Right 3" o:spid="_x0000_s1027" type="#_x0000_t13" style="position:absolute;margin-left:-2.25pt;margin-top:-3.75pt;width:562.3pt;height: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" adj="20740" fillcolor="#62a39f [3209]" strokecolor="white [3201]" strokeweight="3pt">
                <v:shadow on="t" color="black" opacity="24903f" origin=",.5" offset="0,.55556mm"/>
                <v:textbox>
                  <w:txbxContent>
                    <w:p w14:paraId="756A99C4" w14:textId="390E75AF" w:rsidR="004E1DAC" w:rsidRPr="0039063F" w:rsidRDefault="00461701" w:rsidP="0039063F">
                      <w:pPr>
                        <w:rPr>
                          <w:color w:val="FFFFFF" w:themeColor="background1"/>
                        </w:rPr>
                      </w:pPr>
                      <w:r w:rsidRPr="0039063F">
                        <w:rPr>
                          <w:caps/>
                          <w:color w:val="FFFFFF" w:themeColor="background1"/>
                        </w:rPr>
                        <w:t xml:space="preserve">Protocol </w:t>
                      </w:r>
                      <w:r w:rsidR="002A7723" w:rsidRPr="0039063F">
                        <w:rPr>
                          <w:caps/>
                          <w:color w:val="FFFFFF" w:themeColor="background1"/>
                        </w:rPr>
                        <w:t>8</w:t>
                      </w:r>
                      <w:r w:rsidR="00F7558F" w:rsidRPr="0039063F">
                        <w:rPr>
                          <w:caps/>
                          <w:color w:val="FFFFFF" w:themeColor="background1"/>
                        </w:rPr>
                        <w:t xml:space="preserve">. </w:t>
                      </w:r>
                      <w:r w:rsidR="00DF5F17" w:rsidRPr="0039063F">
                        <w:rPr>
                          <w:caps/>
                          <w:color w:val="FFFFFF" w:themeColor="background1"/>
                        </w:rPr>
                        <w:t xml:space="preserve">Action steps —  </w:t>
                      </w:r>
                      <w:r w:rsidR="00E9232E" w:rsidRPr="0039063F">
                        <w:t>CAREER EXPLORATION AND PLANNING</w:t>
                      </w:r>
                    </w:p>
                    <w:p w14:paraId="554B6946" w14:textId="1599FDB3" w:rsidR="00787E29" w:rsidRPr="00C36807" w:rsidRDefault="00787E29" w:rsidP="0039063F"/>
                    <w:p w14:paraId="49128915" w14:textId="77777777" w:rsidR="00787E29" w:rsidRPr="005F3DFD" w:rsidRDefault="00787E29" w:rsidP="0039063F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87E29" w14:paraId="1BA06985" w14:textId="77777777" w:rsidTr="00E0037E">
        <w:tc>
          <w:tcPr>
            <w:tcW w:w="10792" w:type="dxa"/>
            <w:gridSpan w:val="3"/>
            <w:vAlign w:val="bottom"/>
          </w:tcPr>
          <w:p w14:paraId="5790D2DB" w14:textId="77777777" w:rsidR="00787E29" w:rsidRDefault="00787E29" w:rsidP="0039063F"/>
        </w:tc>
        <w:tc>
          <w:tcPr>
            <w:tcW w:w="3598" w:type="dxa"/>
            <w:vMerge w:val="restart"/>
            <w:shd w:val="clear" w:color="auto" w:fill="62A39F" w:themeFill="accent6"/>
            <w:vAlign w:val="center"/>
          </w:tcPr>
          <w:p w14:paraId="69F5F40C" w14:textId="68B1C048" w:rsidR="00787E29" w:rsidRPr="00CC43D8" w:rsidRDefault="00787E29" w:rsidP="0039063F">
            <w:pPr>
              <w:pStyle w:val="Heading3"/>
              <w:outlineLvl w:val="2"/>
            </w:pPr>
            <w:r w:rsidRPr="00CC43D8">
              <w:t xml:space="preserve">Full </w:t>
            </w:r>
            <w:r w:rsidR="00692738" w:rsidRPr="00CC43D8">
              <w:br/>
            </w:r>
            <w:r w:rsidRPr="00CC43D8">
              <w:t>implementation</w:t>
            </w:r>
          </w:p>
        </w:tc>
      </w:tr>
      <w:tr w:rsidR="00787E29" w14:paraId="2E27C301" w14:textId="77777777" w:rsidTr="00E0037E">
        <w:trPr>
          <w:trHeight w:val="377"/>
        </w:trPr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73FCE223" w14:textId="77777777" w:rsidR="00787E29" w:rsidRPr="000C6361" w:rsidRDefault="00787E29" w:rsidP="0039063F">
            <w:pPr>
              <w:pStyle w:val="Heading3"/>
              <w:outlineLvl w:val="2"/>
            </w:pPr>
            <w:r w:rsidRPr="000C6361">
              <w:t>Explore</w:t>
            </w:r>
          </w:p>
        </w:tc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477C5C37" w14:textId="77777777" w:rsidR="00787E29" w:rsidRPr="000C6361" w:rsidRDefault="00787E29" w:rsidP="0039063F">
            <w:pPr>
              <w:pStyle w:val="Heading3"/>
              <w:outlineLvl w:val="2"/>
            </w:pPr>
            <w:r w:rsidRPr="000C6361">
              <w:t>Lay groundwork</w:t>
            </w:r>
          </w:p>
        </w:tc>
        <w:tc>
          <w:tcPr>
            <w:tcW w:w="3598" w:type="dxa"/>
            <w:shd w:val="clear" w:color="auto" w:fill="BFBFBF" w:themeFill="background1" w:themeFillShade="BF"/>
            <w:vAlign w:val="bottom"/>
          </w:tcPr>
          <w:p w14:paraId="08EA7B6E" w14:textId="5580AFAE" w:rsidR="00787E29" w:rsidRPr="000C6361" w:rsidRDefault="00787E29" w:rsidP="0039063F">
            <w:pPr>
              <w:pStyle w:val="Heading3"/>
              <w:outlineLvl w:val="2"/>
            </w:pPr>
            <w:r w:rsidRPr="000C6361">
              <w:t xml:space="preserve">Begin </w:t>
            </w:r>
            <w:r w:rsidR="00C36807">
              <w:t>implementation</w:t>
            </w:r>
          </w:p>
        </w:tc>
        <w:tc>
          <w:tcPr>
            <w:tcW w:w="3598" w:type="dxa"/>
            <w:vMerge/>
            <w:shd w:val="clear" w:color="auto" w:fill="62A39F" w:themeFill="accent6"/>
          </w:tcPr>
          <w:p w14:paraId="268DEF73" w14:textId="77777777" w:rsidR="00787E29" w:rsidRDefault="00787E29" w:rsidP="0039063F"/>
        </w:tc>
      </w:tr>
      <w:tr w:rsidR="00264CA5" w14:paraId="2804E3FD" w14:textId="77777777" w:rsidTr="00FA68BF">
        <w:trPr>
          <w:trHeight w:val="2393"/>
        </w:trPr>
        <w:tc>
          <w:tcPr>
            <w:tcW w:w="3597" w:type="dxa"/>
          </w:tcPr>
          <w:p w14:paraId="4670C7FE" w14:textId="5F7417C3" w:rsidR="00264CA5" w:rsidRPr="00F7558F" w:rsidRDefault="008F09B0" w:rsidP="0039063F">
            <w:pPr>
              <w:rPr>
                <w:szCs w:val="22"/>
              </w:rPr>
            </w:pPr>
            <w:r>
              <w:t>E</w:t>
            </w:r>
            <w:r w:rsidR="00264CA5" w:rsidRPr="00711775">
              <w:t xml:space="preserve">xplore ways to </w:t>
            </w:r>
            <w:r>
              <w:t xml:space="preserve">engage students in activities—including online tools </w:t>
            </w:r>
            <w:r w:rsidR="00DB2CF5">
              <w:t xml:space="preserve">such as CFWV </w:t>
            </w:r>
            <w:r>
              <w:t xml:space="preserve">beginning at middle school—that help students develop career awareness and to understand the dispositions, skills, and behaviors they will need for careers and life success. </w:t>
            </w:r>
            <w:r w:rsidR="00264CA5">
              <w:t>L</w:t>
            </w:r>
            <w:r w:rsidR="00264CA5" w:rsidRPr="00711775">
              <w:t>ook for linkages to content areas</w:t>
            </w:r>
            <w:r w:rsidR="00D21E6B">
              <w:t>.</w:t>
            </w:r>
            <w:r>
              <w:t xml:space="preserve"> </w:t>
            </w:r>
            <w:r w:rsidR="00D21E6B">
              <w:t xml:space="preserve"> </w:t>
            </w:r>
          </w:p>
        </w:tc>
        <w:tc>
          <w:tcPr>
            <w:tcW w:w="3597" w:type="dxa"/>
          </w:tcPr>
          <w:p w14:paraId="6FB531D0" w14:textId="2CD4873A" w:rsidR="00264CA5" w:rsidRPr="00F7558F" w:rsidRDefault="00090051" w:rsidP="0039063F">
            <w:r>
              <w:t>Engage in</w:t>
            </w:r>
            <w:r w:rsidR="00557FBD">
              <w:t xml:space="preserve"> professional learning </w:t>
            </w:r>
            <w:r w:rsidR="00E8303F">
              <w:t>about</w:t>
            </w:r>
            <w:r w:rsidR="00557FBD">
              <w:t xml:space="preserve"> the Student Success Standards for Career Development and </w:t>
            </w:r>
            <w:r w:rsidR="00036B4C">
              <w:t>L</w:t>
            </w:r>
            <w:r w:rsidR="00557FBD">
              <w:t>ife Planning (</w:t>
            </w:r>
            <w:r w:rsidR="00557FBD" w:rsidRPr="00557FBD">
              <w:t>WVBE Policy 2510</w:t>
            </w:r>
            <w:r w:rsidR="00036B4C">
              <w:t xml:space="preserve">). </w:t>
            </w:r>
            <w:r w:rsidR="00E8303F">
              <w:t>E</w:t>
            </w:r>
            <w:r w:rsidR="00BD246F">
              <w:t>ncourage all teachers to try out online career awareness and decision-making tools</w:t>
            </w:r>
            <w:r w:rsidR="00E8303F">
              <w:t xml:space="preserve"> and</w:t>
            </w:r>
            <w:r w:rsidR="00D21E6B">
              <w:t xml:space="preserve"> </w:t>
            </w:r>
            <w:r>
              <w:t>inc</w:t>
            </w:r>
            <w:r w:rsidR="00E8303F">
              <w:t>lude</w:t>
            </w:r>
            <w:r w:rsidR="00BD246F">
              <w:t xml:space="preserve"> linkages to careers and work while lesson planning</w:t>
            </w:r>
            <w:r w:rsidR="00E8303F">
              <w:t>.</w:t>
            </w:r>
          </w:p>
        </w:tc>
        <w:tc>
          <w:tcPr>
            <w:tcW w:w="3598" w:type="dxa"/>
          </w:tcPr>
          <w:p w14:paraId="1544F0E6" w14:textId="1F23D55B" w:rsidR="00264CA5" w:rsidRPr="00F7558F" w:rsidRDefault="00BB27CF" w:rsidP="0039063F">
            <w:r>
              <w:t>All teachers participate individually or collaboratively in c</w:t>
            </w:r>
            <w:r w:rsidR="00036B4C">
              <w:t>onduct</w:t>
            </w:r>
            <w:r>
              <w:t>ing</w:t>
            </w:r>
            <w:r w:rsidR="00036B4C">
              <w:t xml:space="preserve"> at least </w:t>
            </w:r>
            <w:r w:rsidR="0039063F" w:rsidRPr="007943E1">
              <w:t>two</w:t>
            </w:r>
            <w:r w:rsidR="00036B4C" w:rsidRPr="007943E1">
              <w:t xml:space="preserve"> </w:t>
            </w:r>
            <w:r w:rsidR="0039063F">
              <w:t xml:space="preserve">PBLs </w:t>
            </w:r>
            <w:r w:rsidR="00036B4C" w:rsidRPr="00BB27CF">
              <w:t>that</w:t>
            </w:r>
            <w:r w:rsidR="00036B4C">
              <w:t xml:space="preserve"> </w:t>
            </w:r>
            <w:r w:rsidR="00221D27">
              <w:t>integrate information about</w:t>
            </w:r>
            <w:r w:rsidR="00003950">
              <w:t xml:space="preserve"> </w:t>
            </w:r>
            <w:r>
              <w:t>particular careers</w:t>
            </w:r>
            <w:r w:rsidR="00221D27">
              <w:t xml:space="preserve">, </w:t>
            </w:r>
            <w:r w:rsidR="004C2D96">
              <w:t xml:space="preserve">content learning, </w:t>
            </w:r>
            <w:r w:rsidR="00090051">
              <w:t xml:space="preserve">and </w:t>
            </w:r>
            <w:r w:rsidR="004C2D96">
              <w:t>work-related experiences</w:t>
            </w:r>
            <w:r w:rsidR="00090051">
              <w:t>; beginning in middle school,</w:t>
            </w:r>
            <w:r w:rsidR="0039063F">
              <w:t xml:space="preserve"> </w:t>
            </w:r>
            <w:r w:rsidR="00E8303F">
              <w:t xml:space="preserve">the use of </w:t>
            </w:r>
            <w:r w:rsidR="004C2D96">
              <w:t>online tools</w:t>
            </w:r>
            <w:r w:rsidR="00C47348">
              <w:t xml:space="preserve"> </w:t>
            </w:r>
            <w:r w:rsidR="00221D27">
              <w:t xml:space="preserve">also </w:t>
            </w:r>
            <w:r w:rsidR="00C47348">
              <w:t>may be included</w:t>
            </w:r>
            <w:r w:rsidR="004C2D96">
              <w:t>.</w:t>
            </w:r>
            <w:r w:rsidR="00CA6ED0">
              <w:t xml:space="preserve"> </w:t>
            </w:r>
          </w:p>
        </w:tc>
        <w:tc>
          <w:tcPr>
            <w:tcW w:w="3598" w:type="dxa"/>
          </w:tcPr>
          <w:p w14:paraId="10DA769B" w14:textId="1288E9CE" w:rsidR="00264CA5" w:rsidRPr="00F7558F" w:rsidRDefault="00E0037E" w:rsidP="0039063F">
            <w:r>
              <w:t>All t</w:t>
            </w:r>
            <w:r w:rsidR="00264CA5" w:rsidRPr="007B597A">
              <w:t>eachers ac</w:t>
            </w:r>
            <w:r>
              <w:t>quir</w:t>
            </w:r>
            <w:r w:rsidR="00264CA5" w:rsidRPr="007B597A">
              <w:t>e knowledge about careers through collaborative PBLs</w:t>
            </w:r>
            <w:r w:rsidR="004F0B11">
              <w:t xml:space="preserve">, </w:t>
            </w:r>
            <w:r w:rsidR="004C2D96">
              <w:t>employer-led</w:t>
            </w:r>
            <w:r>
              <w:t>,</w:t>
            </w:r>
            <w:r w:rsidR="004C2D96">
              <w:t xml:space="preserve"> work-related experiences</w:t>
            </w:r>
            <w:r w:rsidR="004F0B11">
              <w:t>, and online tools;</w:t>
            </w:r>
            <w:r w:rsidR="004C2D96">
              <w:t xml:space="preserve"> they </w:t>
            </w:r>
            <w:r w:rsidR="00E8303F">
              <w:t>regularly make</w:t>
            </w:r>
            <w:r w:rsidR="004C2D96">
              <w:t xml:space="preserve"> </w:t>
            </w:r>
            <w:r w:rsidR="004F0B11">
              <w:t xml:space="preserve">career </w:t>
            </w:r>
            <w:r w:rsidR="00264CA5" w:rsidRPr="007B597A">
              <w:t xml:space="preserve">linkages to </w:t>
            </w:r>
            <w:r w:rsidR="004C2D96">
              <w:t>the</w:t>
            </w:r>
            <w:r w:rsidR="00264CA5" w:rsidRPr="007B597A">
              <w:t xml:space="preserve"> content areas</w:t>
            </w:r>
            <w:r w:rsidR="004C2D96">
              <w:t xml:space="preserve"> they teach</w:t>
            </w:r>
            <w:r w:rsidR="00E8303F">
              <w:t>.</w:t>
            </w:r>
            <w:r w:rsidR="00090051">
              <w:t xml:space="preserve"> In high school, guidance counselors provide ongoing career counseling and other career planning resources. </w:t>
            </w:r>
          </w:p>
        </w:tc>
      </w:tr>
    </w:tbl>
    <w:p w14:paraId="49DFFBE1" w14:textId="73B086C1" w:rsidR="00787E29" w:rsidRDefault="00217997" w:rsidP="0039063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62E7DD8" wp14:editId="64721BC4">
                <wp:simplePos x="0" y="0"/>
                <wp:positionH relativeFrom="margin">
                  <wp:posOffset>-28575</wp:posOffset>
                </wp:positionH>
                <wp:positionV relativeFrom="paragraph">
                  <wp:posOffset>-57150</wp:posOffset>
                </wp:positionV>
                <wp:extent cx="7141210" cy="568325"/>
                <wp:effectExtent l="76200" t="76200" r="59690" b="117475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5683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C64D8" w14:textId="30005360" w:rsidR="004E1DAC" w:rsidRPr="0039063F" w:rsidRDefault="0039063F" w:rsidP="0039063F">
                            <w:r w:rsidRPr="0039063F">
                              <w:t>PROTOCOL 9. ACTION STEPS —  STUDENTS AS ENTREPRENEURS</w:t>
                            </w:r>
                          </w:p>
                          <w:p w14:paraId="6FE65DFC" w14:textId="621584AA" w:rsidR="00217997" w:rsidRPr="00C36807" w:rsidRDefault="00217997" w:rsidP="00390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7DD8" id="Arrow: Right 24" o:spid="_x0000_s1028" type="#_x0000_t13" style="position:absolute;margin-left:-2.25pt;margin-top:-4.5pt;width:562.3pt;height: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" adj="20740" fillcolor="#62a39f [3209]" strokecolor="white [3201]" strokeweight="3pt">
                <v:shadow on="t" color="black" opacity="24903f" origin=",.5" offset="0,.55556mm"/>
                <v:textbox>
                  <w:txbxContent>
                    <w:p w14:paraId="40DC64D8" w14:textId="30005360" w:rsidR="004E1DAC" w:rsidRPr="0039063F" w:rsidRDefault="0039063F" w:rsidP="0039063F">
                      <w:r w:rsidRPr="0039063F">
                        <w:t>PROTOCOL 9. ACTION STEPS —  STUDENTS AS ENTREPRENEURS</w:t>
                      </w:r>
                    </w:p>
                    <w:p w14:paraId="6FE65DFC" w14:textId="621584AA" w:rsidR="00217997" w:rsidRPr="00C36807" w:rsidRDefault="00217997" w:rsidP="0039063F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87E29" w14:paraId="27904194" w14:textId="77777777" w:rsidTr="00BD51D4">
        <w:tc>
          <w:tcPr>
            <w:tcW w:w="10792" w:type="dxa"/>
            <w:gridSpan w:val="3"/>
            <w:vAlign w:val="bottom"/>
          </w:tcPr>
          <w:p w14:paraId="30CEC2FA" w14:textId="77777777" w:rsidR="00787E29" w:rsidRDefault="00787E29" w:rsidP="0039063F"/>
        </w:tc>
        <w:tc>
          <w:tcPr>
            <w:tcW w:w="3598" w:type="dxa"/>
            <w:vMerge w:val="restart"/>
            <w:shd w:val="clear" w:color="auto" w:fill="62A39F" w:themeFill="accent6"/>
            <w:vAlign w:val="center"/>
          </w:tcPr>
          <w:p w14:paraId="071ABB4E" w14:textId="062A7BFA" w:rsidR="00787E29" w:rsidRPr="00CC43D8" w:rsidRDefault="00787E29" w:rsidP="0039063F">
            <w:pPr>
              <w:pStyle w:val="Heading3"/>
              <w:outlineLvl w:val="2"/>
            </w:pPr>
            <w:r w:rsidRPr="00CC43D8">
              <w:t xml:space="preserve">Full </w:t>
            </w:r>
            <w:r w:rsidR="00692738" w:rsidRPr="00CC43D8">
              <w:br/>
            </w:r>
            <w:r w:rsidRPr="00CC43D8">
              <w:t>implementation</w:t>
            </w:r>
          </w:p>
        </w:tc>
      </w:tr>
      <w:tr w:rsidR="00787E29" w14:paraId="08494317" w14:textId="77777777" w:rsidTr="00BD51D4">
        <w:trPr>
          <w:trHeight w:val="377"/>
        </w:trPr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6430A4FA" w14:textId="77777777" w:rsidR="00787E29" w:rsidRPr="000C6361" w:rsidRDefault="00787E29" w:rsidP="0039063F">
            <w:pPr>
              <w:pStyle w:val="Heading3"/>
              <w:outlineLvl w:val="2"/>
            </w:pPr>
            <w:r w:rsidRPr="000C6361">
              <w:t>Explore</w:t>
            </w:r>
          </w:p>
        </w:tc>
        <w:tc>
          <w:tcPr>
            <w:tcW w:w="3597" w:type="dxa"/>
            <w:shd w:val="clear" w:color="auto" w:fill="BFBFBF" w:themeFill="background1" w:themeFillShade="BF"/>
            <w:vAlign w:val="bottom"/>
          </w:tcPr>
          <w:p w14:paraId="3935FF56" w14:textId="77777777" w:rsidR="00787E29" w:rsidRPr="000C6361" w:rsidRDefault="00787E29" w:rsidP="0039063F">
            <w:pPr>
              <w:pStyle w:val="Heading3"/>
              <w:outlineLvl w:val="2"/>
            </w:pPr>
            <w:r w:rsidRPr="000C6361">
              <w:t>Lay groundwork</w:t>
            </w:r>
          </w:p>
        </w:tc>
        <w:tc>
          <w:tcPr>
            <w:tcW w:w="3598" w:type="dxa"/>
            <w:shd w:val="clear" w:color="auto" w:fill="BFBFBF" w:themeFill="background1" w:themeFillShade="BF"/>
            <w:vAlign w:val="bottom"/>
          </w:tcPr>
          <w:p w14:paraId="67914B06" w14:textId="1DAA4E31" w:rsidR="00787E29" w:rsidRPr="000C6361" w:rsidRDefault="00787E29" w:rsidP="0039063F">
            <w:pPr>
              <w:pStyle w:val="Heading3"/>
              <w:outlineLvl w:val="2"/>
            </w:pPr>
            <w:r w:rsidRPr="000C6361">
              <w:t xml:space="preserve">Begin </w:t>
            </w:r>
            <w:r w:rsidR="00C36807">
              <w:t>implementation</w:t>
            </w:r>
          </w:p>
        </w:tc>
        <w:tc>
          <w:tcPr>
            <w:tcW w:w="3598" w:type="dxa"/>
            <w:vMerge/>
            <w:shd w:val="clear" w:color="auto" w:fill="62A39F" w:themeFill="accent6"/>
          </w:tcPr>
          <w:p w14:paraId="4BF81BA4" w14:textId="77777777" w:rsidR="00787E29" w:rsidRDefault="00787E29" w:rsidP="0039063F"/>
        </w:tc>
      </w:tr>
      <w:tr w:rsidR="00787E29" w14:paraId="155B8E85" w14:textId="77777777" w:rsidTr="00D560C6">
        <w:tc>
          <w:tcPr>
            <w:tcW w:w="3597" w:type="dxa"/>
          </w:tcPr>
          <w:p w14:paraId="7D9F7B08" w14:textId="7A0CDC4E" w:rsidR="00787E29" w:rsidRPr="00F7558F" w:rsidRDefault="00C47348" w:rsidP="00C47348">
            <w:r>
              <w:t xml:space="preserve">Explore resources available through organizations that have a focus on entrepreneurship education, such as </w:t>
            </w:r>
            <w:r w:rsidR="008A17A5">
              <w:t xml:space="preserve">the WVU and WVSU Extension Services, 4H, Future Farmers of America, </w:t>
            </w:r>
            <w:r w:rsidR="008A17A5" w:rsidRPr="008A17A5">
              <w:t>U</w:t>
            </w:r>
            <w:r w:rsidR="00DB2CF5">
              <w:t>S</w:t>
            </w:r>
            <w:r w:rsidR="008A17A5" w:rsidRPr="008A17A5">
              <w:t xml:space="preserve"> Association for Small Business and Entrepreneurship</w:t>
            </w:r>
            <w:r w:rsidR="00DB2CF5">
              <w:t>, and  Virtual Enterprises International</w:t>
            </w:r>
            <w:r w:rsidR="008A17A5">
              <w:t>.</w:t>
            </w:r>
          </w:p>
        </w:tc>
        <w:tc>
          <w:tcPr>
            <w:tcW w:w="3597" w:type="dxa"/>
          </w:tcPr>
          <w:p w14:paraId="6A3FCC27" w14:textId="00EE9B7D" w:rsidR="00787E29" w:rsidRPr="00F7558F" w:rsidRDefault="00355B69" w:rsidP="0039063F">
            <w:r>
              <w:t>With community partners p</w:t>
            </w:r>
            <w:r w:rsidR="00221D27">
              <w:t xml:space="preserve">lan and conduct professional learning </w:t>
            </w:r>
            <w:r>
              <w:t>about</w:t>
            </w:r>
            <w:r w:rsidR="00DB2CF5">
              <w:t xml:space="preserve"> </w:t>
            </w:r>
            <w:r w:rsidR="000A1CBA">
              <w:t>entrepreneurship education</w:t>
            </w:r>
            <w:r>
              <w:t xml:space="preserve">. Plan how to </w:t>
            </w:r>
            <w:r w:rsidR="00CA6ED0">
              <w:t>coach</w:t>
            </w:r>
            <w:r>
              <w:t xml:space="preserve"> students </w:t>
            </w:r>
            <w:r w:rsidR="00CA6ED0">
              <w:t>as they develop</w:t>
            </w:r>
            <w:r>
              <w:t xml:space="preserve"> their own enterprise</w:t>
            </w:r>
            <w:r w:rsidR="000A1CBA">
              <w:t>s in various sectors</w:t>
            </w:r>
            <w:r w:rsidR="00DB2CF5">
              <w:t xml:space="preserve"> (</w:t>
            </w:r>
            <w:r w:rsidR="000A1CBA">
              <w:t>social, cultural, or business</w:t>
            </w:r>
            <w:r w:rsidR="00DB2CF5">
              <w:t>)</w:t>
            </w:r>
            <w:r>
              <w:t xml:space="preserve">. </w:t>
            </w:r>
            <w:r w:rsidR="00DB2CF5" w:rsidRPr="00DB2CF5">
              <w:t>Assess what access students have to local maker spaces.</w:t>
            </w:r>
          </w:p>
        </w:tc>
        <w:tc>
          <w:tcPr>
            <w:tcW w:w="3598" w:type="dxa"/>
          </w:tcPr>
          <w:p w14:paraId="2C87E3E3" w14:textId="0FF074BB" w:rsidR="00787E29" w:rsidRPr="00F7558F" w:rsidRDefault="000A1CBA" w:rsidP="0039063F">
            <w:r>
              <w:t xml:space="preserve">One grade-level team works with community partners and students to </w:t>
            </w:r>
            <w:r w:rsidR="00E0037E">
              <w:t xml:space="preserve">identify an opportunity and create a product or service of value in their school or community.  </w:t>
            </w:r>
          </w:p>
        </w:tc>
        <w:tc>
          <w:tcPr>
            <w:tcW w:w="3598" w:type="dxa"/>
          </w:tcPr>
          <w:p w14:paraId="743E4EA2" w14:textId="0B03FDFE" w:rsidR="00787E29" w:rsidRPr="00F7558F" w:rsidRDefault="000A1CBA" w:rsidP="0039063F">
            <w:r>
              <w:t xml:space="preserve">Each year, students </w:t>
            </w:r>
            <w:r w:rsidR="00CA6ED0">
              <w:t xml:space="preserve">at all grade levels </w:t>
            </w:r>
            <w:r>
              <w:t xml:space="preserve">have at least one entrepreneurial opportunity that </w:t>
            </w:r>
            <w:r w:rsidR="00CA6ED0">
              <w:t>develops</w:t>
            </w:r>
            <w:r>
              <w:t xml:space="preserve"> their ability to </w:t>
            </w:r>
            <w:r w:rsidRPr="000A1CBA">
              <w:t xml:space="preserve">recognize opportunities, </w:t>
            </w:r>
            <w:r w:rsidR="00CD5C5B">
              <w:t xml:space="preserve">take risks, </w:t>
            </w:r>
            <w:r w:rsidRPr="000A1CBA">
              <w:t>overcome and learn from setbacks, and apply these skills to future careers</w:t>
            </w:r>
            <w:r>
              <w:t>.</w:t>
            </w:r>
          </w:p>
        </w:tc>
      </w:tr>
    </w:tbl>
    <w:p w14:paraId="3AE33A09" w14:textId="77777777" w:rsidR="00787E29" w:rsidRPr="00E0037E" w:rsidRDefault="00787E29" w:rsidP="0039063F">
      <w:pPr>
        <w:rPr>
          <w:sz w:val="2"/>
          <w:szCs w:val="2"/>
        </w:rPr>
      </w:pPr>
    </w:p>
    <w:sectPr w:rsidR="00787E29" w:rsidRPr="00E0037E" w:rsidSect="00FA68BF">
      <w:footerReference w:type="default" r:id="rId7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7DDD" w14:textId="77777777" w:rsidR="00CD33FF" w:rsidRDefault="00CD33FF" w:rsidP="0039063F">
      <w:r>
        <w:separator/>
      </w:r>
    </w:p>
  </w:endnote>
  <w:endnote w:type="continuationSeparator" w:id="0">
    <w:p w14:paraId="540C186E" w14:textId="77777777" w:rsidR="00CD33FF" w:rsidRDefault="00CD33FF" w:rsidP="0039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EACE" w14:textId="2DE6ECB1" w:rsidR="00DB2CF5" w:rsidRPr="00177D7C" w:rsidRDefault="00177D7C" w:rsidP="00177D7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09.08.2021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016E" w14:textId="77777777" w:rsidR="00CD33FF" w:rsidRDefault="00CD33FF" w:rsidP="0039063F">
      <w:r>
        <w:separator/>
      </w:r>
    </w:p>
  </w:footnote>
  <w:footnote w:type="continuationSeparator" w:id="0">
    <w:p w14:paraId="5E95098E" w14:textId="77777777" w:rsidR="00CD33FF" w:rsidRDefault="00CD33FF" w:rsidP="0039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00D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5AE0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04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76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967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677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A04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B8C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7A5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F0842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110D57A6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D3E0920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2C3114B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661B5873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E1C74F7"/>
    <w:multiLevelType w:val="hybridMultilevel"/>
    <w:tmpl w:val="3622344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71C200C4"/>
    <w:multiLevelType w:val="singleLevel"/>
    <w:tmpl w:val="FFF28EDC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cs="Times New Roman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B7"/>
    <w:rsid w:val="000036A5"/>
    <w:rsid w:val="00003950"/>
    <w:rsid w:val="00010F1D"/>
    <w:rsid w:val="000131D7"/>
    <w:rsid w:val="000206DB"/>
    <w:rsid w:val="00021A65"/>
    <w:rsid w:val="00032195"/>
    <w:rsid w:val="00036B4C"/>
    <w:rsid w:val="00040125"/>
    <w:rsid w:val="00044AFF"/>
    <w:rsid w:val="00052300"/>
    <w:rsid w:val="000637B6"/>
    <w:rsid w:val="00066229"/>
    <w:rsid w:val="00090051"/>
    <w:rsid w:val="00090CEE"/>
    <w:rsid w:val="000A1CBA"/>
    <w:rsid w:val="000B2BED"/>
    <w:rsid w:val="000B6F64"/>
    <w:rsid w:val="000C5680"/>
    <w:rsid w:val="000C6361"/>
    <w:rsid w:val="000F12BF"/>
    <w:rsid w:val="000F34DB"/>
    <w:rsid w:val="0013222C"/>
    <w:rsid w:val="0015357A"/>
    <w:rsid w:val="00177D7C"/>
    <w:rsid w:val="001D4C7B"/>
    <w:rsid w:val="001E04A1"/>
    <w:rsid w:val="001F7874"/>
    <w:rsid w:val="00217997"/>
    <w:rsid w:val="00221D27"/>
    <w:rsid w:val="002337F7"/>
    <w:rsid w:val="00237C90"/>
    <w:rsid w:val="00241E3F"/>
    <w:rsid w:val="002427B1"/>
    <w:rsid w:val="002547F5"/>
    <w:rsid w:val="00264CA5"/>
    <w:rsid w:val="002650A2"/>
    <w:rsid w:val="00280A65"/>
    <w:rsid w:val="00291B1F"/>
    <w:rsid w:val="00296BFD"/>
    <w:rsid w:val="002A1C73"/>
    <w:rsid w:val="002A5EA0"/>
    <w:rsid w:val="002A7723"/>
    <w:rsid w:val="002B14F8"/>
    <w:rsid w:val="002C7403"/>
    <w:rsid w:val="002D101F"/>
    <w:rsid w:val="002F1126"/>
    <w:rsid w:val="00301793"/>
    <w:rsid w:val="00332494"/>
    <w:rsid w:val="00343E56"/>
    <w:rsid w:val="00347D0F"/>
    <w:rsid w:val="003534D7"/>
    <w:rsid w:val="00355B69"/>
    <w:rsid w:val="00362589"/>
    <w:rsid w:val="00377DD0"/>
    <w:rsid w:val="0039063F"/>
    <w:rsid w:val="003A0896"/>
    <w:rsid w:val="003B0634"/>
    <w:rsid w:val="003C3A4E"/>
    <w:rsid w:val="003C7EF9"/>
    <w:rsid w:val="003D36B5"/>
    <w:rsid w:val="003D5B1A"/>
    <w:rsid w:val="003E4CDB"/>
    <w:rsid w:val="00403415"/>
    <w:rsid w:val="00414A20"/>
    <w:rsid w:val="00436C86"/>
    <w:rsid w:val="00461701"/>
    <w:rsid w:val="004721BB"/>
    <w:rsid w:val="00496914"/>
    <w:rsid w:val="004A49D7"/>
    <w:rsid w:val="004A5E10"/>
    <w:rsid w:val="004C2D96"/>
    <w:rsid w:val="004D3662"/>
    <w:rsid w:val="004D5B60"/>
    <w:rsid w:val="004E1DAC"/>
    <w:rsid w:val="004F0B11"/>
    <w:rsid w:val="004F462A"/>
    <w:rsid w:val="004F5930"/>
    <w:rsid w:val="00516A68"/>
    <w:rsid w:val="00525BB7"/>
    <w:rsid w:val="00545217"/>
    <w:rsid w:val="00557FBD"/>
    <w:rsid w:val="0056575B"/>
    <w:rsid w:val="00574C61"/>
    <w:rsid w:val="00581F83"/>
    <w:rsid w:val="00586373"/>
    <w:rsid w:val="00591F68"/>
    <w:rsid w:val="005926E8"/>
    <w:rsid w:val="005A0092"/>
    <w:rsid w:val="005A1560"/>
    <w:rsid w:val="005C0CB5"/>
    <w:rsid w:val="005C29CB"/>
    <w:rsid w:val="005C342B"/>
    <w:rsid w:val="005C5E40"/>
    <w:rsid w:val="005C65B7"/>
    <w:rsid w:val="005E2BD8"/>
    <w:rsid w:val="005F3DFD"/>
    <w:rsid w:val="005F65A3"/>
    <w:rsid w:val="00615D0A"/>
    <w:rsid w:val="00692738"/>
    <w:rsid w:val="006A4B63"/>
    <w:rsid w:val="006B6083"/>
    <w:rsid w:val="006F0B77"/>
    <w:rsid w:val="006F7239"/>
    <w:rsid w:val="00711775"/>
    <w:rsid w:val="007161EC"/>
    <w:rsid w:val="00717AB4"/>
    <w:rsid w:val="00720E44"/>
    <w:rsid w:val="00724182"/>
    <w:rsid w:val="007311B8"/>
    <w:rsid w:val="00733FA9"/>
    <w:rsid w:val="0073467E"/>
    <w:rsid w:val="00741323"/>
    <w:rsid w:val="00762259"/>
    <w:rsid w:val="00763AF3"/>
    <w:rsid w:val="00773BA8"/>
    <w:rsid w:val="007760CE"/>
    <w:rsid w:val="00787E29"/>
    <w:rsid w:val="007943E1"/>
    <w:rsid w:val="007B597A"/>
    <w:rsid w:val="007B6050"/>
    <w:rsid w:val="007D4138"/>
    <w:rsid w:val="00810470"/>
    <w:rsid w:val="00820B08"/>
    <w:rsid w:val="008311B2"/>
    <w:rsid w:val="00834BC4"/>
    <w:rsid w:val="00840FD2"/>
    <w:rsid w:val="00843D5C"/>
    <w:rsid w:val="0088294B"/>
    <w:rsid w:val="008A17A5"/>
    <w:rsid w:val="008A40FB"/>
    <w:rsid w:val="008B04DF"/>
    <w:rsid w:val="008B4461"/>
    <w:rsid w:val="008D0FB1"/>
    <w:rsid w:val="008D228C"/>
    <w:rsid w:val="008E0216"/>
    <w:rsid w:val="008E2A13"/>
    <w:rsid w:val="008F09B0"/>
    <w:rsid w:val="00900F0D"/>
    <w:rsid w:val="00901420"/>
    <w:rsid w:val="00902574"/>
    <w:rsid w:val="00922B5F"/>
    <w:rsid w:val="0096056F"/>
    <w:rsid w:val="00990544"/>
    <w:rsid w:val="009B2A5B"/>
    <w:rsid w:val="009C7B9A"/>
    <w:rsid w:val="009D132D"/>
    <w:rsid w:val="009D22D7"/>
    <w:rsid w:val="009D7E7C"/>
    <w:rsid w:val="009F0700"/>
    <w:rsid w:val="00A11702"/>
    <w:rsid w:val="00A33643"/>
    <w:rsid w:val="00A7375F"/>
    <w:rsid w:val="00A84804"/>
    <w:rsid w:val="00A911BB"/>
    <w:rsid w:val="00A9659B"/>
    <w:rsid w:val="00A96E1D"/>
    <w:rsid w:val="00AB4D1F"/>
    <w:rsid w:val="00AC5688"/>
    <w:rsid w:val="00B12DCA"/>
    <w:rsid w:val="00B14385"/>
    <w:rsid w:val="00B23E5C"/>
    <w:rsid w:val="00B30DF7"/>
    <w:rsid w:val="00B41AFD"/>
    <w:rsid w:val="00B429DD"/>
    <w:rsid w:val="00B43126"/>
    <w:rsid w:val="00B63AEE"/>
    <w:rsid w:val="00B661D2"/>
    <w:rsid w:val="00B7120D"/>
    <w:rsid w:val="00B77DE6"/>
    <w:rsid w:val="00B97BA6"/>
    <w:rsid w:val="00BB27CF"/>
    <w:rsid w:val="00BD246F"/>
    <w:rsid w:val="00BD51D4"/>
    <w:rsid w:val="00BE445E"/>
    <w:rsid w:val="00BF1362"/>
    <w:rsid w:val="00BF576B"/>
    <w:rsid w:val="00C104B0"/>
    <w:rsid w:val="00C23050"/>
    <w:rsid w:val="00C36807"/>
    <w:rsid w:val="00C47348"/>
    <w:rsid w:val="00C9359C"/>
    <w:rsid w:val="00C93B91"/>
    <w:rsid w:val="00CA6ED0"/>
    <w:rsid w:val="00CB1A86"/>
    <w:rsid w:val="00CC43D8"/>
    <w:rsid w:val="00CD33FF"/>
    <w:rsid w:val="00CD5C5B"/>
    <w:rsid w:val="00CD5EF2"/>
    <w:rsid w:val="00CD6955"/>
    <w:rsid w:val="00CF0926"/>
    <w:rsid w:val="00D069F4"/>
    <w:rsid w:val="00D1011F"/>
    <w:rsid w:val="00D21E6B"/>
    <w:rsid w:val="00D25827"/>
    <w:rsid w:val="00D27CA9"/>
    <w:rsid w:val="00D5265E"/>
    <w:rsid w:val="00D560C6"/>
    <w:rsid w:val="00D72743"/>
    <w:rsid w:val="00D77290"/>
    <w:rsid w:val="00D815B6"/>
    <w:rsid w:val="00D86B84"/>
    <w:rsid w:val="00DB2CF5"/>
    <w:rsid w:val="00DC0DC3"/>
    <w:rsid w:val="00DC7E96"/>
    <w:rsid w:val="00DD4F5B"/>
    <w:rsid w:val="00DD77C3"/>
    <w:rsid w:val="00DF4F58"/>
    <w:rsid w:val="00DF5F17"/>
    <w:rsid w:val="00E0037E"/>
    <w:rsid w:val="00E06B83"/>
    <w:rsid w:val="00E10E0B"/>
    <w:rsid w:val="00E35615"/>
    <w:rsid w:val="00E36DE8"/>
    <w:rsid w:val="00E46072"/>
    <w:rsid w:val="00E67C5E"/>
    <w:rsid w:val="00E70563"/>
    <w:rsid w:val="00E72B8A"/>
    <w:rsid w:val="00E8303F"/>
    <w:rsid w:val="00E907D2"/>
    <w:rsid w:val="00E9232E"/>
    <w:rsid w:val="00EA10B4"/>
    <w:rsid w:val="00EB33F1"/>
    <w:rsid w:val="00EB3E71"/>
    <w:rsid w:val="00EB3FDC"/>
    <w:rsid w:val="00EC20BB"/>
    <w:rsid w:val="00ED0896"/>
    <w:rsid w:val="00ED52AD"/>
    <w:rsid w:val="00EE12B3"/>
    <w:rsid w:val="00F21289"/>
    <w:rsid w:val="00F7558F"/>
    <w:rsid w:val="00F839F0"/>
    <w:rsid w:val="00F84FFC"/>
    <w:rsid w:val="00FA1DFC"/>
    <w:rsid w:val="00FA68BF"/>
    <w:rsid w:val="00FA73D9"/>
    <w:rsid w:val="00FC6EC1"/>
    <w:rsid w:val="00FD4377"/>
    <w:rsid w:val="00FD7804"/>
    <w:rsid w:val="00FD7A4E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A32A2"/>
  <w15:chartTrackingRefBased/>
  <w15:docId w15:val="{AA75E2C6-0F2B-44FA-A681-72319BB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487B77" w:themeColor="accent6" w:themeShade="BF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3F"/>
    <w:pPr>
      <w:widowControl w:val="0"/>
      <w:autoSpaceDE w:val="0"/>
      <w:autoSpaceDN w:val="0"/>
      <w:adjustRightInd w:val="0"/>
      <w:spacing w:after="0" w:line="252" w:lineRule="auto"/>
    </w:pPr>
    <w:rPr>
      <w:rFonts w:ascii="Calibri" w:eastAsiaTheme="minorEastAsia" w:hAnsi="Calibri" w:cs="Calibri"/>
      <w:color w:val="auto"/>
      <w:szCs w:val="24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59C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9063F"/>
    <w:pPr>
      <w:keepNext/>
      <w:keepLines/>
      <w:spacing w:before="40"/>
      <w:outlineLvl w:val="1"/>
    </w:pPr>
    <w:rPr>
      <w:rFonts w:eastAsiaTheme="majorEastAsia"/>
      <w:b/>
      <w:bCs/>
      <w:color w:val="2E653E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42B"/>
    <w:pPr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359C"/>
    <w:rPr>
      <w:rFonts w:asciiTheme="majorHAnsi" w:eastAsiaTheme="majorEastAsia" w:hAnsiTheme="majorHAnsi" w:cstheme="majorBidi"/>
      <w:caps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9063F"/>
    <w:rPr>
      <w:rFonts w:ascii="Calibri" w:eastAsiaTheme="majorEastAsia" w:hAnsi="Calibri" w:cs="Calibri"/>
      <w:b/>
      <w:bCs/>
      <w:color w:val="2E653E" w:themeColor="accent5" w:themeShade="BF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5C342B"/>
    <w:rPr>
      <w:rFonts w:ascii="Trebuchet MS" w:eastAsiaTheme="minorEastAsia" w:hAnsi="Trebuchet MS" w:cs="Times New Roman"/>
      <w:b/>
      <w:bCs/>
      <w:color w:val="auto"/>
      <w:sz w:val="24"/>
      <w:szCs w:val="24"/>
      <w:lang w:val="en"/>
    </w:rPr>
  </w:style>
  <w:style w:type="table" w:styleId="TableGrid">
    <w:name w:val="Table Grid"/>
    <w:basedOn w:val="TableNormal"/>
    <w:uiPriority w:val="39"/>
    <w:rsid w:val="00E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E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0B"/>
    <w:rPr>
      <w:rFonts w:ascii="Trebuchet MS" w:eastAsiaTheme="minorEastAsia" w:hAnsi="Trebuchet MS" w:cs="Times New Roman"/>
      <w:color w:val="auto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10E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0B"/>
    <w:rPr>
      <w:rFonts w:ascii="Trebuchet MS" w:eastAsiaTheme="minorEastAsia" w:hAnsi="Trebuchet MS" w:cs="Times New Roman"/>
      <w:color w:val="auto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 EA docs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Hammer</dc:creator>
  <cp:keywords/>
  <dc:description/>
  <cp:lastModifiedBy>Patricia Hammer</cp:lastModifiedBy>
  <cp:revision>2</cp:revision>
  <cp:lastPrinted>2020-11-09T16:35:00Z</cp:lastPrinted>
  <dcterms:created xsi:type="dcterms:W3CDTF">2021-09-08T19:23:00Z</dcterms:created>
  <dcterms:modified xsi:type="dcterms:W3CDTF">2021-09-08T19:23:00Z</dcterms:modified>
</cp:coreProperties>
</file>